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83C" w:rsidRPr="00C0183C" w:rsidRDefault="00C0183C" w:rsidP="00C0183C">
      <w:pPr>
        <w:rPr>
          <w:rFonts w:ascii="Times New Roman" w:hAnsi="Times New Roman" w:cs="Times New Roman"/>
          <w:b/>
          <w:sz w:val="28"/>
          <w:szCs w:val="28"/>
        </w:rPr>
      </w:pPr>
      <w:r w:rsidRPr="00C0183C">
        <w:rPr>
          <w:rFonts w:ascii="Times New Roman" w:hAnsi="Times New Roman" w:cs="Times New Roman"/>
          <w:b/>
          <w:sz w:val="28"/>
          <w:szCs w:val="28"/>
        </w:rPr>
        <w:t>Structure of the WTO:</w:t>
      </w:r>
    </w:p>
    <w:p w:rsidR="00C0183C" w:rsidRPr="00C0183C" w:rsidRDefault="00C0183C" w:rsidP="00C0183C">
      <w:pPr>
        <w:spacing w:line="360" w:lineRule="auto"/>
        <w:jc w:val="both"/>
        <w:rPr>
          <w:rFonts w:ascii="Times New Roman" w:hAnsi="Times New Roman" w:cs="Times New Roman"/>
          <w:sz w:val="24"/>
          <w:szCs w:val="24"/>
        </w:rPr>
      </w:pPr>
      <w:r w:rsidRPr="00C0183C">
        <w:rPr>
          <w:rFonts w:ascii="Times New Roman" w:hAnsi="Times New Roman" w:cs="Times New Roman"/>
          <w:sz w:val="24"/>
          <w:szCs w:val="24"/>
        </w:rPr>
        <w:t>The Ministerial Conference (MC) is at the top of the structural organisation of the WTO. It is the supreme governing body which takes ultimate decisions on all matters. It is constituted by representatives of (usually, Ministers of T</w:t>
      </w:r>
      <w:r w:rsidRPr="00C0183C">
        <w:rPr>
          <w:rFonts w:ascii="Times New Roman" w:hAnsi="Times New Roman" w:cs="Times New Roman"/>
          <w:sz w:val="24"/>
          <w:szCs w:val="24"/>
        </w:rPr>
        <w:t>rade) all the member countries.</w:t>
      </w:r>
    </w:p>
    <w:p w:rsidR="00C0183C" w:rsidRPr="00C0183C" w:rsidRDefault="00C0183C" w:rsidP="00C0183C">
      <w:pPr>
        <w:spacing w:line="360" w:lineRule="auto"/>
        <w:jc w:val="both"/>
        <w:rPr>
          <w:rFonts w:ascii="Times New Roman" w:hAnsi="Times New Roman" w:cs="Times New Roman"/>
          <w:sz w:val="24"/>
          <w:szCs w:val="24"/>
        </w:rPr>
      </w:pPr>
      <w:r w:rsidRPr="00C0183C">
        <w:rPr>
          <w:rFonts w:ascii="Times New Roman" w:hAnsi="Times New Roman" w:cs="Times New Roman"/>
          <w:sz w:val="24"/>
          <w:szCs w:val="24"/>
        </w:rPr>
        <w:t>The General Council (GC) is composed of the representatives of all the members. It is the real engine of the WTO which acts on behalf of the MC. It also acts as the Dispute Settlement Body as well as the Trade Policy Review Body.</w:t>
      </w:r>
    </w:p>
    <w:p w:rsidR="00C0183C" w:rsidRPr="00C0183C" w:rsidRDefault="00C0183C" w:rsidP="00C0183C">
      <w:pPr>
        <w:spacing w:line="360" w:lineRule="auto"/>
        <w:jc w:val="both"/>
        <w:rPr>
          <w:rFonts w:ascii="Times New Roman" w:hAnsi="Times New Roman" w:cs="Times New Roman"/>
          <w:sz w:val="24"/>
          <w:szCs w:val="24"/>
        </w:rPr>
      </w:pPr>
      <w:r w:rsidRPr="00C0183C">
        <w:rPr>
          <w:rFonts w:ascii="Times New Roman" w:hAnsi="Times New Roman" w:cs="Times New Roman"/>
          <w:sz w:val="24"/>
          <w:szCs w:val="24"/>
        </w:rPr>
        <w:t xml:space="preserve">There are three councils, viz.: the Council for Trade in Services and the Council for Trade-Related Aspects of Intellectual Property Rights (TRIPS) operating under the GC. These councils with their subsidiary bodies carry out </w:t>
      </w:r>
      <w:r w:rsidRPr="00C0183C">
        <w:rPr>
          <w:rFonts w:ascii="Times New Roman" w:hAnsi="Times New Roman" w:cs="Times New Roman"/>
          <w:sz w:val="24"/>
          <w:szCs w:val="24"/>
        </w:rPr>
        <w:t>their specific responsibilities</w:t>
      </w:r>
    </w:p>
    <w:p w:rsidR="00C0183C" w:rsidRPr="00C0183C" w:rsidRDefault="00C0183C" w:rsidP="00C0183C">
      <w:pPr>
        <w:spacing w:line="360" w:lineRule="auto"/>
        <w:jc w:val="both"/>
        <w:rPr>
          <w:rFonts w:ascii="Times New Roman" w:hAnsi="Times New Roman" w:cs="Times New Roman"/>
          <w:sz w:val="24"/>
          <w:szCs w:val="24"/>
        </w:rPr>
      </w:pPr>
      <w:r w:rsidRPr="00C0183C">
        <w:rPr>
          <w:rFonts w:ascii="Times New Roman" w:hAnsi="Times New Roman" w:cs="Times New Roman"/>
          <w:sz w:val="24"/>
          <w:szCs w:val="24"/>
        </w:rPr>
        <w:t>Further, there are three committees, viz., the Committee on Trade and Development (CTD), the Committee on Balance of Payments Restrictions (CBOPR), and the Committee on Budget, Finance and Administration (CF A) which execute the functions assigned to them by e WTO Agreement and the GC.</w:t>
      </w:r>
    </w:p>
    <w:p w:rsidR="00C0183C" w:rsidRPr="00C0183C" w:rsidRDefault="00C0183C" w:rsidP="00C0183C">
      <w:pPr>
        <w:spacing w:line="360" w:lineRule="auto"/>
        <w:jc w:val="both"/>
        <w:rPr>
          <w:rFonts w:ascii="Times New Roman" w:hAnsi="Times New Roman" w:cs="Times New Roman"/>
          <w:b/>
          <w:sz w:val="28"/>
          <w:szCs w:val="28"/>
        </w:rPr>
      </w:pPr>
      <w:r w:rsidRPr="00C0183C">
        <w:rPr>
          <w:rFonts w:ascii="Times New Roman" w:hAnsi="Times New Roman" w:cs="Times New Roman"/>
          <w:b/>
          <w:sz w:val="28"/>
          <w:szCs w:val="28"/>
        </w:rPr>
        <w:t>Structure of the WTO</w:t>
      </w:r>
    </w:p>
    <w:p w:rsidR="00000000" w:rsidRDefault="00C0183C" w:rsidP="00C0183C">
      <w:pPr>
        <w:spacing w:line="360" w:lineRule="auto"/>
        <w:jc w:val="both"/>
        <w:rPr>
          <w:rFonts w:ascii="Times New Roman" w:hAnsi="Times New Roman" w:cs="Times New Roman"/>
          <w:sz w:val="24"/>
          <w:szCs w:val="24"/>
        </w:rPr>
      </w:pPr>
      <w:r w:rsidRPr="00C0183C">
        <w:rPr>
          <w:rFonts w:ascii="Times New Roman" w:hAnsi="Times New Roman" w:cs="Times New Roman"/>
          <w:sz w:val="24"/>
          <w:szCs w:val="24"/>
        </w:rPr>
        <w:t>The administration of the WTO is conducted by the Secretariat which is headed by the Director General (DG) appointed by the MC for the tenure of four years. He is assisted by the four Deputy Directors from different member countries. The annual budget estimates and financial statement of the WTO are presented by the DG to the CBFA for review and recommendations for the final approval by the GC.</w:t>
      </w:r>
    </w:p>
    <w:p w:rsidR="00A07074" w:rsidRDefault="00A07074" w:rsidP="00C0183C">
      <w:pPr>
        <w:spacing w:line="360" w:lineRule="auto"/>
        <w:jc w:val="both"/>
        <w:rPr>
          <w:rFonts w:ascii="Times New Roman" w:hAnsi="Times New Roman" w:cs="Times New Roman"/>
          <w:sz w:val="24"/>
          <w:szCs w:val="24"/>
        </w:rPr>
      </w:pPr>
    </w:p>
    <w:p w:rsidR="00A07074" w:rsidRDefault="00A07074" w:rsidP="00C0183C">
      <w:pPr>
        <w:spacing w:line="360" w:lineRule="auto"/>
        <w:jc w:val="both"/>
        <w:rPr>
          <w:rFonts w:ascii="Times New Roman" w:hAnsi="Times New Roman" w:cs="Times New Roman"/>
          <w:sz w:val="24"/>
          <w:szCs w:val="24"/>
        </w:rPr>
      </w:pPr>
    </w:p>
    <w:p w:rsidR="00A07074" w:rsidRDefault="00A07074" w:rsidP="00C0183C">
      <w:pPr>
        <w:spacing w:line="360" w:lineRule="auto"/>
        <w:jc w:val="both"/>
        <w:rPr>
          <w:rFonts w:ascii="Times New Roman" w:hAnsi="Times New Roman" w:cs="Times New Roman"/>
          <w:sz w:val="24"/>
          <w:szCs w:val="24"/>
        </w:rPr>
      </w:pPr>
    </w:p>
    <w:p w:rsidR="00A07074" w:rsidRDefault="00A07074" w:rsidP="00C0183C">
      <w:pPr>
        <w:spacing w:line="360" w:lineRule="auto"/>
        <w:jc w:val="both"/>
        <w:rPr>
          <w:rFonts w:ascii="Times New Roman" w:hAnsi="Times New Roman" w:cs="Times New Roman"/>
          <w:sz w:val="24"/>
          <w:szCs w:val="24"/>
        </w:rPr>
      </w:pPr>
    </w:p>
    <w:p w:rsidR="00A07074" w:rsidRDefault="00A07074" w:rsidP="00A07074">
      <w:pPr>
        <w:spacing w:line="360" w:lineRule="auto"/>
        <w:jc w:val="both"/>
        <w:rPr>
          <w:rFonts w:ascii="Times New Roman" w:hAnsi="Times New Roman" w:cs="Times New Roman"/>
          <w:b/>
          <w:sz w:val="28"/>
          <w:szCs w:val="28"/>
        </w:rPr>
      </w:pPr>
    </w:p>
    <w:p w:rsidR="00A07074" w:rsidRPr="00421EB8" w:rsidRDefault="00A07074" w:rsidP="00421EB8">
      <w:pPr>
        <w:spacing w:line="360" w:lineRule="auto"/>
        <w:jc w:val="center"/>
        <w:rPr>
          <w:rFonts w:ascii="Times New Roman" w:hAnsi="Times New Roman" w:cs="Times New Roman"/>
          <w:b/>
          <w:sz w:val="36"/>
          <w:szCs w:val="36"/>
        </w:rPr>
      </w:pPr>
      <w:r w:rsidRPr="00421EB8">
        <w:rPr>
          <w:rFonts w:ascii="Times New Roman" w:hAnsi="Times New Roman" w:cs="Times New Roman"/>
          <w:b/>
          <w:sz w:val="36"/>
          <w:szCs w:val="36"/>
        </w:rPr>
        <w:lastRenderedPageBreak/>
        <w:t>Structure of the WTO</w:t>
      </w:r>
    </w:p>
    <w:p w:rsidR="00A07074" w:rsidRDefault="00A07074" w:rsidP="00C0183C">
      <w:pPr>
        <w:spacing w:line="360" w:lineRule="auto"/>
        <w:jc w:val="both"/>
        <w:rPr>
          <w:rFonts w:ascii="Times New Roman" w:hAnsi="Times New Roman" w:cs="Times New Roman"/>
          <w:sz w:val="24"/>
          <w:szCs w:val="24"/>
        </w:rPr>
      </w:pPr>
    </w:p>
    <w:p w:rsidR="00A07074" w:rsidRPr="00C0183C" w:rsidRDefault="00A07074" w:rsidP="00C0183C">
      <w:pPr>
        <w:spacing w:line="360" w:lineRule="auto"/>
        <w:jc w:val="both"/>
        <w:rPr>
          <w:rFonts w:ascii="Times New Roman" w:hAnsi="Times New Roman" w:cs="Times New Roman"/>
          <w:sz w:val="24"/>
          <w:szCs w:val="24"/>
        </w:rPr>
      </w:pPr>
      <w:r>
        <w:rPr>
          <w:noProof/>
        </w:rPr>
        <w:drawing>
          <wp:inline distT="0" distB="0" distL="0" distR="0">
            <wp:extent cx="5873750" cy="5763491"/>
            <wp:effectExtent l="19050" t="0" r="0" b="0"/>
            <wp:docPr id="6" name="Picture 6" descr="http://cdn.yourarticlelibrary.com/wp-content/uploads/2014/02/clip_image0021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dn.yourarticlelibrary.com/wp-content/uploads/2014/02/clip_image002119.jpg"/>
                    <pic:cNvPicPr>
                      <a:picLocks noChangeAspect="1" noChangeArrowheads="1"/>
                    </pic:cNvPicPr>
                  </pic:nvPicPr>
                  <pic:blipFill>
                    <a:blip r:embed="rId6"/>
                    <a:srcRect/>
                    <a:stretch>
                      <a:fillRect/>
                    </a:stretch>
                  </pic:blipFill>
                  <pic:spPr bwMode="auto">
                    <a:xfrm>
                      <a:off x="0" y="0"/>
                      <a:ext cx="5878823" cy="5768469"/>
                    </a:xfrm>
                    <a:prstGeom prst="rect">
                      <a:avLst/>
                    </a:prstGeom>
                    <a:noFill/>
                    <a:ln w="9525">
                      <a:noFill/>
                      <a:miter lim="800000"/>
                      <a:headEnd/>
                      <a:tailEnd/>
                    </a:ln>
                  </pic:spPr>
                </pic:pic>
              </a:graphicData>
            </a:graphic>
          </wp:inline>
        </w:drawing>
      </w:r>
    </w:p>
    <w:sectPr w:rsidR="00A07074" w:rsidRPr="00C0183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5F6C" w:rsidRDefault="001E5F6C" w:rsidP="00A07074">
      <w:pPr>
        <w:spacing w:after="0" w:line="240" w:lineRule="auto"/>
      </w:pPr>
      <w:r>
        <w:separator/>
      </w:r>
    </w:p>
  </w:endnote>
  <w:endnote w:type="continuationSeparator" w:id="1">
    <w:p w:rsidR="001E5F6C" w:rsidRDefault="001E5F6C" w:rsidP="00A070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5F6C" w:rsidRDefault="001E5F6C" w:rsidP="00A07074">
      <w:pPr>
        <w:spacing w:after="0" w:line="240" w:lineRule="auto"/>
      </w:pPr>
      <w:r>
        <w:separator/>
      </w:r>
    </w:p>
  </w:footnote>
  <w:footnote w:type="continuationSeparator" w:id="1">
    <w:p w:rsidR="001E5F6C" w:rsidRDefault="001E5F6C" w:rsidP="00A0707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efaultTabStop w:val="720"/>
  <w:characterSpacingControl w:val="doNotCompress"/>
  <w:footnotePr>
    <w:footnote w:id="0"/>
    <w:footnote w:id="1"/>
  </w:footnotePr>
  <w:endnotePr>
    <w:endnote w:id="0"/>
    <w:endnote w:id="1"/>
  </w:endnotePr>
  <w:compat>
    <w:useFELayout/>
  </w:compat>
  <w:rsids>
    <w:rsidRoot w:val="00C0183C"/>
    <w:rsid w:val="001E5F6C"/>
    <w:rsid w:val="00421EB8"/>
    <w:rsid w:val="00A07074"/>
    <w:rsid w:val="00C018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70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7074"/>
    <w:rPr>
      <w:rFonts w:ascii="Tahoma" w:hAnsi="Tahoma" w:cs="Tahoma"/>
      <w:sz w:val="16"/>
      <w:szCs w:val="16"/>
    </w:rPr>
  </w:style>
  <w:style w:type="paragraph" w:styleId="Header">
    <w:name w:val="header"/>
    <w:basedOn w:val="Normal"/>
    <w:link w:val="HeaderChar"/>
    <w:uiPriority w:val="99"/>
    <w:semiHidden/>
    <w:unhideWhenUsed/>
    <w:rsid w:val="00A0707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07074"/>
  </w:style>
  <w:style w:type="paragraph" w:styleId="Footer">
    <w:name w:val="footer"/>
    <w:basedOn w:val="Normal"/>
    <w:link w:val="FooterChar"/>
    <w:uiPriority w:val="99"/>
    <w:semiHidden/>
    <w:unhideWhenUsed/>
    <w:rsid w:val="00A0707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07074"/>
  </w:style>
</w:styles>
</file>

<file path=word/webSettings.xml><?xml version="1.0" encoding="utf-8"?>
<w:webSettings xmlns:r="http://schemas.openxmlformats.org/officeDocument/2006/relationships" xmlns:w="http://schemas.openxmlformats.org/wordprocessingml/2006/main">
  <w:divs>
    <w:div w:id="917639323">
      <w:bodyDiv w:val="1"/>
      <w:marLeft w:val="0"/>
      <w:marRight w:val="0"/>
      <w:marTop w:val="0"/>
      <w:marBottom w:val="0"/>
      <w:divBdr>
        <w:top w:val="none" w:sz="0" w:space="0" w:color="auto"/>
        <w:left w:val="none" w:sz="0" w:space="0" w:color="auto"/>
        <w:bottom w:val="none" w:sz="0" w:space="0" w:color="auto"/>
        <w:right w:val="none" w:sz="0" w:space="0" w:color="auto"/>
      </w:divBdr>
      <w:divsChild>
        <w:div w:id="1051852948">
          <w:marLeft w:val="0"/>
          <w:marRight w:val="0"/>
          <w:marTop w:val="116"/>
          <w:marBottom w:val="116"/>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225</Words>
  <Characters>1285</Characters>
  <Application>Microsoft Office Word</Application>
  <DocSecurity>0</DocSecurity>
  <Lines>10</Lines>
  <Paragraphs>3</Paragraphs>
  <ScaleCrop>false</ScaleCrop>
  <Company/>
  <LinksUpToDate>false</LinksUpToDate>
  <CharactersWithSpaces>1507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2020-03-27T14:07:00Z</dcterms:created>
  <dcterms:modified xsi:type="dcterms:W3CDTF">2020-03-27T14:11:00Z</dcterms:modified>
</cp:coreProperties>
</file>